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1">
      <w:pPr>
        <w:widowControl w:val="off"/>
        <w:pBdr>
          <w:top w:val="none" w:sz="4" w:space="0"/>
          <w:left w:val="none" w:sz="4" w:space="0"/>
          <w:bottom w:val="none" w:sz="4" w:space="0"/>
          <w:right w:val="none" w:sz="4" w:space="0"/>
          <w:between w:val="none" w:sz="4" w:space="0"/>
          <w:bar w:val="none" w:sz="4" w:space="0"/>
        </w:pBdr>
        <w:rPr>
          <w:rFonts w:ascii="Times New Roman"/>
          <w:sz w:val="24"/>
        </w:rPr>
      </w:pPr>
      <w:r>
        <w:rPr>
          <w:rFonts w:ascii="Calibri"/>
        </w:rPr>
        <w:drawing xmlns:mc="http://schemas.openxmlformats.org/markup-compatibility/2006">
          <wp:anchor allowOverlap="1" behindDoc="1" distT="0" distB="0" distL="118872" distR="118872" layoutInCell="1" locked="0" relativeHeight="503273474" simplePos="0">
            <wp:simplePos x="0" y="0"/>
            <wp:positionH relativeFrom="margin">
              <wp:posOffset>4779010</wp:posOffset>
            </wp:positionH>
            <wp:positionV relativeFrom="margin">
              <wp:posOffset>-410210</wp:posOffset>
            </wp:positionV>
            <wp:extent cx="1216660" cy="1216660"/>
            <wp:effectExtent l="0" t="0" r="0" b="0"/>
            <wp:wrapNone/>
            <wp:docPr id="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1"/>
                    <pic:cNvPicPr>
                      <a:picLocks noChangeAspect="1"/>
                    </pic:cNvPicPr>
                  </pic:nvPicPr>
                  <pic:blipFill>
                    <a:blip r:embed="rId15"/>
                    <a:srcRect/>
                    <a:stretch>
                      <a:fillRect/>
                    </a:stretch>
                  </pic:blipFill>
                  <pic:spPr>
                    <a:xfrm>
                      <a:off x="0" y="0"/>
                      <a:ext cx="1216660" cy="1216660"/>
                    </a:xfrm>
                    <a:prstGeom prst="rect">
                      <a:avLst/>
                    </a:prstGeom>
                  </pic:spPr>
                </pic:pic>
              </a:graphicData>
            </a:graphic>
          </wp:anchor>
        </w:drawing>
      </w:r>
      <w:r>
        <w:rPr>
          <w:rFonts w:ascii="Calibri"/>
        </w:rPr>
        <w:t>Association Club Athlétisme Loisir Riom</w:t>
      </w:r>
    </w:p>
    <w:p w14:paraId="00000002">
      <w:pPr>
        <w:widowControl w:val="off"/>
        <w:pBdr>
          <w:top w:val="none" w:sz="4" w:space="0"/>
          <w:left w:val="none" w:sz="4" w:space="0"/>
          <w:bottom w:val="none" w:sz="4" w:space="0"/>
          <w:right w:val="none" w:sz="4" w:space="0"/>
          <w:between w:val="none" w:sz="4" w:space="0"/>
          <w:bar w:val="none" w:sz="4" w:space="0"/>
        </w:pBdr>
        <w:spacing w:line="100" w:lineRule="atLeast"/>
        <w:rPr>
          <w:rFonts w:ascii="Times New Roman"/>
          <w:sz w:val="2"/>
          <w:szCs w:val="2"/>
        </w:rPr>
      </w:pPr>
    </w:p>
    <w:p w14:paraId="00000003">
      <w:pPr>
        <w:widowControl w:val="off"/>
        <w:pBdr>
          <w:top w:val="none" w:sz="4" w:space="0"/>
          <w:left w:val="none" w:sz="4" w:space="0"/>
          <w:bottom w:val="none" w:sz="4" w:space="0"/>
          <w:right w:val="none" w:sz="4" w:space="0"/>
          <w:between w:val="none" w:sz="4" w:space="0"/>
          <w:bar w:val="none" w:sz="4" w:space="0"/>
        </w:pBdr>
        <w:jc w:val="center"/>
        <w:rPr>
          <w:rFonts w:ascii="Times New Roman"/>
          <w:b/>
          <w:bCs/>
          <w:sz w:val="24"/>
        </w:rPr>
      </w:pPr>
      <w:r>
        <w:rPr>
          <w:rFonts w:ascii="Calibri"/>
          <w:b/>
          <w:bCs/>
          <w:sz w:val="28"/>
        </w:rPr>
        <w:t xml:space="preserve">Compte-rendu de réunion du Conseil d'Administration </w:t>
      </w:r>
    </w:p>
    <w:p w14:paraId="00000004">
      <w:pPr>
        <w:widowControl w:val="off"/>
        <w:pBdr>
          <w:top w:val="none" w:sz="4" w:space="0"/>
          <w:left w:val="none" w:sz="4" w:space="0"/>
          <w:bottom w:val="none" w:sz="4" w:space="0"/>
          <w:right w:val="none" w:sz="4" w:space="0"/>
          <w:between w:val="none" w:sz="4" w:space="0"/>
          <w:bar w:val="none" w:sz="4" w:space="0"/>
        </w:pBdr>
        <w:jc w:val="center"/>
        <w:rPr>
          <w:rFonts w:ascii="Times New Roman"/>
          <w:sz w:val="24"/>
        </w:rPr>
      </w:pPr>
      <w:r>
        <w:rPr>
          <w:rFonts w:ascii="Calibri"/>
        </w:rPr>
        <w:t>Le 12/03/2025</w:t>
      </w:r>
    </w:p>
    <w:p w14:paraId="00000005">
      <w:pPr>
        <w:widowControl w:val="off"/>
        <w:pBdr>
          <w:top w:val="none" w:sz="4" w:space="0"/>
          <w:left w:val="none" w:sz="4" w:space="0"/>
          <w:bottom w:val="none" w:sz="4" w:space="0"/>
          <w:right w:val="none" w:sz="4" w:space="0"/>
          <w:between w:val="none" w:sz="4" w:space="0"/>
          <w:bar w:val="none" w:sz="4" w:space="0"/>
        </w:pBdr>
        <w:rPr>
          <w:rFonts w:ascii="Calibri"/>
        </w:rPr>
      </w:pPr>
      <w:r>
        <w:rPr>
          <w:rFonts w:ascii="Calibri"/>
        </w:rPr>
        <w:t>Membres du CA présents : Marc RECOCHE, DEBRION René, SARRON Julie, ROGUE Sébastien, JOB Daniel,</w:t>
      </w:r>
      <w:r>
        <w:rPr>
          <w:rFonts w:ascii="Calibri"/>
        </w:rPr>
        <w:t xml:space="preserve"> </w:t>
      </w:r>
      <w:r>
        <w:rPr>
          <w:rFonts w:ascii="Calibri"/>
        </w:rPr>
        <w:t xml:space="preserve">SARRON Florian, </w:t>
      </w:r>
      <w:r>
        <w:rPr>
          <w:rFonts w:ascii="Calibri"/>
        </w:rPr>
        <w:t>J</w:t>
      </w:r>
      <w:r>
        <w:rPr>
          <w:rFonts w:ascii="Calibri"/>
        </w:rPr>
        <w:t>ERBILLET Gilles, BOUGIE Marie</w:t>
      </w:r>
      <w:r>
        <w:rPr>
          <w:rFonts w:ascii="Calibri"/>
        </w:rPr>
        <w:t>-</w:t>
      </w:r>
      <w:r>
        <w:rPr>
          <w:rFonts w:ascii="Calibri"/>
        </w:rPr>
        <w:t>Hélène , ROUCH Florian,</w:t>
      </w:r>
      <w:r>
        <w:rPr>
          <w:rFonts w:ascii="Calibri"/>
        </w:rPr>
        <w:t xml:space="preserve"> </w:t>
      </w:r>
      <w:r>
        <w:rPr>
          <w:rFonts w:ascii="Calibri"/>
        </w:rPr>
        <w:t>LE BOBINNEC LABRUYERE Benoit, DUBREUIL Nathalie</w:t>
      </w:r>
    </w:p>
    <w:p w14:paraId="00000006">
      <w:pPr>
        <w:widowControl w:val="off"/>
        <w:pBdr>
          <w:top w:val="none" w:sz="4" w:space="0"/>
          <w:left w:val="none" w:sz="4" w:space="0"/>
          <w:bottom w:val="none" w:sz="4" w:space="0"/>
          <w:right w:val="none" w:sz="4" w:space="0"/>
          <w:between w:val="none" w:sz="4" w:space="0"/>
          <w:bar w:val="none" w:sz="4" w:space="0"/>
        </w:pBdr>
        <w:rPr>
          <w:rFonts w:ascii="Times New Roman"/>
          <w:sz w:val="2"/>
          <w:szCs w:val="2"/>
        </w:rPr>
      </w:pPr>
      <w:r>
        <w:rPr>
          <w:rFonts w:ascii="Calibri"/>
        </w:rPr>
        <mc:AlternateContent>
          <mc:Choice Requires="wps">
            <w:drawing xmlns:mc="http://schemas.openxmlformats.org/markup-compatibility/2006">
              <wp:anchor allowOverlap="1" behindDoc="0" distT="0" distB="0" distL="118872" distR="118872" layoutInCell="1" locked="0" relativeHeight="3" simplePos="0">
                <wp:simplePos x="0" y="0"/>
                <wp:positionH relativeFrom="margin">
                  <wp:posOffset>-241300</wp:posOffset>
                </wp:positionH>
                <wp:positionV relativeFrom="margin">
                  <wp:posOffset>2204720</wp:posOffset>
                </wp:positionV>
                <wp:extent cx="6080125" cy="6424930"/>
                <wp:effectExtent l="0" t="0" r="12700" b="12700"/>
                <wp:wrapNone/>
                <wp:docPr id="412" name="Rectangle 1"/>
                <wp:cNvGraphicFramePr>
                  <a:graphicFrameLocks xmlns:a="http://schemas.openxmlformats.org/drawingml/2006/main"/>
                </wp:cNvGraphicFramePr>
                <a:graphic xmlns:a="http://schemas.openxmlformats.org/drawingml/2006/main">
                  <a:graphicData uri="http://schemas.microsoft.com/office/word/2010/wordprocessingShape">
                    <wps:wsp>
                      <wps:cNvPr id="410" name="Rectangle 1"/>
                      <wps:cNvSpPr/>
                      <wps:spPr>
                        <a:xfrm>
                          <a:off x="0" y="0"/>
                          <a:ext cx="6080125" cy="6424930"/>
                        </a:xfrm>
                        <a:prstGeom prst="rect">
                          <a:avLst/>
                        </a:prstGeom>
                        <a:noFill/>
                        <a:ln>
                          <a:solidFill>
                            <a:schemeClr val="dk1"/>
                          </a:solidFill>
                        </a:ln>
                      </wps:spPr>
                      <wps:style>
                        <a:lnRef idx="2">
                          <a:schemeClr val="accent1">
                            <a:shade val="50000"/>
                          </a:schemeClr>
                        </a:lnRef>
                        <a:fillRef idx="1">
                          <a:schemeClr val="accent1"/>
                        </a:fillRef>
                        <a:effectRef idx="0">
                          <a:schemeClr val="accent1"/>
                        </a:effectRef>
                        <a:fontRef idx="minor">
                          <a:schemeClr val="lt1"/>
                        </a:fontRef>
                      </wps:style>
                      <wps:txbx id="0">
                        <w:txbxContent>
                          <w:p w14:paraId="00000007">
                            <w:pPr>
                              <w:jc w:val="center"/>
                              <w:rPr/>
                            </w:pPr>
                          </w:p>
                        </w:txbxContent>
                      </wps:txbx>
                      <wps:bodyPr anchor="ctr"/>
                    </wps:wsp>
                  </a:graphicData>
                </a:graphic>
              </wp:anchor>
            </w:drawing>
          </mc:Choice>
          <mc:Fallback>
            <w:pict>
              <v:shape id="6E4D9C3A-3732-8755-C3C0DBD9BEE9" coordsize="21600,21600" style="position:absolute;width:478.75pt;height:505.9pt;margin-top:173.6pt;margin-left:-19pt;mso-wrap-distance-left:9.36pt;mso-wrap-distance-right:9.36pt;mso-wrap-distance-top:0pt;mso-wrap-distance-bottom:0pt;mso-position-horizontal-relative:margin;mso-position-vertical-relative:margin;rotation:0.000000;z-index:3;" strokecolor="#000000" o:spt="1" path="m0,0 l0,21600 r21600,0 l21600,0 x e">
                <v:stroke color="#000000" filltype="solid" joinstyle="miter" linestyle="single" mitterlimit="800000" weight="1pt"/>
                <w10:wrap side="both"/>
                <o:lock/>
              </v:shape>
            </w:pict>
          </mc:Fallback>
        </mc:AlternateContent>
      </w:r>
      <w:r>
        <w:rPr>
          <w:rFonts w:ascii="Calibri"/>
        </w:rPr>
        <w:t>Entraîneurs présents : RECOCHE Thomas, NOIRJEAN Guillaume</w:t>
      </w:r>
    </w:p>
    <w:p w14:paraId="00000008">
      <w:p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Ordre du Jour :</w:t>
      </w:r>
    </w:p>
    <w:p w14:paraId="00000009">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Estimation du coût des transactions si utilisation du site internet du club</w:t>
      </w:r>
    </w:p>
    <w:p w14:paraId="0000000A">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Budget prévisionnel stage de Bugeat: </w:t>
      </w:r>
    </w:p>
    <w:p w14:paraId="0000000B">
      <w:pPr>
        <w:numPr>
          <w:ilvl w:val="1"/>
          <w:numId w:val="1"/>
        </w:numPr>
        <w:pBdr>
          <w:top w:val="none" w:sz="4" w:space="0"/>
          <w:left w:val="none" w:sz="4" w:space="0"/>
          <w:bottom w:val="none" w:sz="4" w:space="0"/>
          <w:right w:val="none" w:sz="4" w:space="0"/>
          <w:between w:val="none" w:sz="4" w:space="0"/>
          <w:bar w:val="none" w:sz="4" w:space="0"/>
        </w:pBdr>
        <w:spacing w:line="240" w:lineRule="auto"/>
        <w:rPr>
          <w:rFonts w:ascii="Calibri"/>
          <w:sz w:val="20"/>
          <w:szCs w:val="20"/>
        </w:rPr>
      </w:pPr>
      <w:r>
        <w:rPr>
          <w:rFonts w:ascii="Calibri"/>
          <w:sz w:val="20"/>
          <w:szCs w:val="20"/>
        </w:rPr>
        <w:t>Dépenses : hébergement (4727,80€) + transport (1695€) = 6422,80€</w:t>
      </w:r>
    </w:p>
    <w:p w14:paraId="0000000C">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Nouveaux maillots : </w:t>
      </w:r>
      <w:r>
        <w:rPr>
          <w:rFonts w:ascii="Calibri"/>
          <w:sz w:val="20"/>
          <w:szCs w:val="20"/>
        </w:rPr>
        <w:t xml:space="preserve">mode d’attribution des maillots avec et sans défauts ? </w:t>
      </w:r>
    </w:p>
    <w:p w14:paraId="0000000D">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Point sur les entraîneurs et les groupes d’entraînement pour la prochaine saison</w:t>
      </w:r>
    </w:p>
    <w:p w14:paraId="0000000E">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Subventions :  </w:t>
      </w:r>
      <w:r>
        <w:rPr>
          <w:rFonts w:ascii="Calibri"/>
          <w:sz w:val="20"/>
          <w:szCs w:val="20"/>
        </w:rPr>
        <w:t>Fonds de Développement de la Vie Associative et subvention mairie</w:t>
      </w:r>
      <w:r>
        <w:rPr>
          <w:rFonts w:ascii="Calibri"/>
          <w:b/>
          <w:sz w:val="20"/>
          <w:szCs w:val="20"/>
        </w:rPr>
        <w:t xml:space="preserve"> </w:t>
      </w:r>
    </w:p>
    <w:p w14:paraId="0000000F">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Labels FFA 2024/2025 : </w:t>
      </w:r>
      <w:r>
        <w:rPr>
          <w:rFonts w:ascii="Calibri"/>
          <w:sz w:val="20"/>
          <w:szCs w:val="20"/>
        </w:rPr>
        <w:t>idem saison précédente, subvention de 500€ (Bronze pour le “Stade”, Argent pour “Education athlétique” et “Running”)</w:t>
      </w:r>
    </w:p>
    <w:p w14:paraId="00000010">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Projet de local au stade : dernières infos </w:t>
      </w:r>
    </w:p>
    <w:p w14:paraId="00000011">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Interclubs 2025 : 1er tour le Samedi 3 mai à Moulins</w:t>
      </w:r>
    </w:p>
    <w:p w14:paraId="00000012">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Organisation d’un moment sportif et festif de fin d’année ? </w:t>
      </w:r>
    </w:p>
    <w:p w14:paraId="00000013">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Intervention sur un thème à prévoir l’AG 2025</w:t>
      </w:r>
    </w:p>
    <w:p w14:paraId="00000014">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 xml:space="preserve">Point sur les boîtes mail du club à conserver ou supprimer ou rediriger les mails : </w:t>
      </w:r>
    </w:p>
    <w:p w14:paraId="00000015">
      <w:pPr>
        <w:numPr>
          <w:ilvl w:val="1"/>
          <w:numId w:val="1"/>
        </w:numPr>
        <w:pBdr>
          <w:top w:val="none" w:sz="4" w:space="0"/>
          <w:left w:val="none" w:sz="4" w:space="0"/>
          <w:bottom w:val="none" w:sz="4" w:space="0"/>
          <w:right w:val="none" w:sz="4" w:space="0"/>
          <w:between w:val="none" w:sz="4" w:space="0"/>
          <w:bar w:val="none" w:sz="4" w:space="0"/>
        </w:pBdr>
        <w:spacing w:line="240" w:lineRule="auto"/>
        <w:rPr>
          <w:rFonts w:ascii="Calibri"/>
          <w:sz w:val="20"/>
          <w:szCs w:val="20"/>
        </w:rPr>
      </w:pPr>
      <w:r>
        <w:fldChar w:fldCharType="begin"/>
      </w:r>
      <w:r>
        <w:instrText xml:space="preserve">HYPERLINK "mailto:Contact@calrion.fr" </w:instrText>
      </w:r>
      <w:r>
        <w:fldChar w:fldCharType="separate"/>
      </w:r>
      <w:r>
        <w:rPr>
          <w:rStyle w:val="Hyperlink"/>
          <w:rFonts w:ascii="Calibri"/>
          <w:sz w:val="20"/>
          <w:szCs w:val="20"/>
        </w:rPr>
        <w:t>Contact@calriom.fr</w:t>
      </w:r>
      <w:r>
        <w:fldChar w:fldCharType="end"/>
      </w:r>
      <w:r>
        <w:rPr>
          <w:rFonts w:ascii="Calibri"/>
          <w:sz w:val="20"/>
          <w:szCs w:val="20"/>
        </w:rPr>
        <w:t xml:space="preserve"> : hébergement géré par Julien pour cal-riom.fr (nom de domaine, hébergement web et service email), coût de 60€/an : Disposer du mot de passe et voir les mails reçus puis supprimer l’hébergement web, conserver le nom de domaine et le mail et rediriger les mails sur </w:t>
      </w:r>
      <w:r>
        <w:fldChar w:fldCharType="begin"/>
      </w:r>
      <w:r>
        <w:instrText xml:space="preserve">HYPERLINK "mailto:cal.riom63200@gmail.com" </w:instrText>
      </w:r>
      <w:r>
        <w:fldChar w:fldCharType="separate"/>
      </w:r>
      <w:r>
        <w:rPr>
          <w:rStyle w:val="Hyperlink"/>
          <w:rFonts w:ascii="Calibri"/>
          <w:sz w:val="20"/>
          <w:szCs w:val="20"/>
        </w:rPr>
        <w:t>cal.riom63200@gmail.com</w:t>
      </w:r>
      <w:r>
        <w:fldChar w:fldCharType="end"/>
      </w:r>
      <w:r>
        <w:rPr>
          <w:rFonts w:ascii="Calibri"/>
          <w:sz w:val="20"/>
          <w:szCs w:val="20"/>
        </w:rPr>
        <w:t xml:space="preserve"> ? </w:t>
      </w:r>
    </w:p>
    <w:p w14:paraId="00000016">
      <w:pPr>
        <w:numPr>
          <w:ilvl w:val="1"/>
          <w:numId w:val="1"/>
        </w:numPr>
        <w:pBdr>
          <w:top w:val="none" w:sz="4" w:space="0"/>
          <w:left w:val="none" w:sz="4" w:space="0"/>
          <w:bottom w:val="none" w:sz="4" w:space="0"/>
          <w:right w:val="none" w:sz="4" w:space="0"/>
          <w:between w:val="none" w:sz="4" w:space="0"/>
          <w:bar w:val="none" w:sz="4" w:space="0"/>
        </w:pBdr>
        <w:spacing w:line="240" w:lineRule="auto"/>
        <w:rPr>
          <w:rFonts w:ascii="Calibri"/>
          <w:sz w:val="20"/>
          <w:szCs w:val="20"/>
        </w:rPr>
      </w:pPr>
      <w:r>
        <w:fldChar w:fldCharType="begin"/>
      </w:r>
      <w:r>
        <w:instrText xml:space="preserve">HYPERLINK "mailto:Calriom@free.fr" </w:instrText>
      </w:r>
      <w:r>
        <w:fldChar w:fldCharType="separate"/>
      </w:r>
      <w:r>
        <w:rPr>
          <w:rStyle w:val="Hyperlink"/>
          <w:rFonts w:ascii="Calibri"/>
          <w:sz w:val="20"/>
          <w:szCs w:val="20"/>
        </w:rPr>
        <w:t>Calriom@free.fr</w:t>
      </w:r>
      <w:r>
        <w:fldChar w:fldCharType="end"/>
      </w:r>
      <w:r>
        <w:rPr>
          <w:rFonts w:ascii="Calibri"/>
          <w:sz w:val="20"/>
          <w:szCs w:val="20"/>
        </w:rPr>
        <w:t xml:space="preserve"> : Disposer du mot de passe, voir les mails puis rediriger les mails sur </w:t>
      </w:r>
      <w:r>
        <w:fldChar w:fldCharType="begin"/>
      </w:r>
      <w:r>
        <w:instrText xml:space="preserve">HYPERLINK "mailto:cal.riom63200@gmail.com" </w:instrText>
      </w:r>
      <w:r>
        <w:fldChar w:fldCharType="separate"/>
      </w:r>
      <w:r>
        <w:rPr>
          <w:rStyle w:val="Hyperlink"/>
          <w:rFonts w:ascii="Calibri"/>
          <w:sz w:val="20"/>
          <w:szCs w:val="20"/>
        </w:rPr>
        <w:t>cal.riom63200@gmail.com</w:t>
      </w:r>
      <w:r>
        <w:fldChar w:fldCharType="end"/>
      </w:r>
      <w:r>
        <w:rPr>
          <w:rFonts w:ascii="Calibri"/>
          <w:sz w:val="20"/>
          <w:szCs w:val="20"/>
        </w:rPr>
        <w:t xml:space="preserve"> ? </w:t>
      </w:r>
    </w:p>
    <w:p w14:paraId="00000017">
      <w:pPr>
        <w:numPr>
          <w:ilvl w:val="1"/>
          <w:numId w:val="1"/>
        </w:numPr>
        <w:pBdr>
          <w:top w:val="none" w:sz="4" w:space="0"/>
          <w:left w:val="none" w:sz="4" w:space="0"/>
          <w:bottom w:val="none" w:sz="4" w:space="0"/>
          <w:right w:val="none" w:sz="4" w:space="0"/>
          <w:between w:val="none" w:sz="4" w:space="0"/>
          <w:bar w:val="none" w:sz="4" w:space="0"/>
        </w:pBdr>
        <w:spacing w:line="240" w:lineRule="auto"/>
        <w:rPr>
          <w:rFonts w:ascii="Calibri"/>
          <w:sz w:val="20"/>
          <w:szCs w:val="20"/>
        </w:rPr>
      </w:pPr>
      <w:r>
        <w:fldChar w:fldCharType="begin"/>
      </w:r>
      <w:r>
        <w:instrText xml:space="preserve">HYPERLINK "mailto:Calriom@gmail.com" </w:instrText>
      </w:r>
      <w:r>
        <w:fldChar w:fldCharType="separate"/>
      </w:r>
      <w:r>
        <w:rPr>
          <w:rStyle w:val="Hyperlink"/>
          <w:rFonts w:ascii="Calibri"/>
          <w:sz w:val="20"/>
          <w:szCs w:val="20"/>
        </w:rPr>
        <w:t>Calriom@gmail.com</w:t>
      </w:r>
      <w:r>
        <w:fldChar w:fldCharType="end"/>
      </w:r>
      <w:r>
        <w:rPr>
          <w:rFonts w:ascii="Calibri"/>
          <w:sz w:val="20"/>
          <w:szCs w:val="20"/>
        </w:rPr>
        <w:t xml:space="preserve"> : idem ? </w:t>
      </w:r>
    </w:p>
    <w:p w14:paraId="00000018">
      <w:pPr>
        <w:numPr>
          <w:ilvl w:val="1"/>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fldChar w:fldCharType="begin"/>
      </w:r>
      <w:r>
        <w:instrText xml:space="preserve">HYPERLINK "mailto:Cal.riom63200@gmail.com" </w:instrText>
      </w:r>
      <w:r>
        <w:fldChar w:fldCharType="separate"/>
      </w:r>
      <w:r>
        <w:rPr>
          <w:rStyle w:val="Hyperlink"/>
          <w:rFonts w:ascii="Calibri"/>
          <w:sz w:val="20"/>
          <w:szCs w:val="20"/>
        </w:rPr>
        <w:t>Cal.riom63200@gmail.com</w:t>
      </w:r>
      <w:r>
        <w:fldChar w:fldCharType="end"/>
      </w:r>
      <w:r>
        <w:rPr>
          <w:rFonts w:ascii="Calibri"/>
          <w:sz w:val="20"/>
          <w:szCs w:val="20"/>
        </w:rPr>
        <w:t xml:space="preserve"> : à conserver en boite mail principale ? </w:t>
      </w:r>
    </w:p>
    <w:p w14:paraId="00000019">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Recenser les médaillés FFA et Jeunesse et Sports du club pour valorisation auprès des partenaires</w:t>
      </w:r>
    </w:p>
    <w:p w14:paraId="0000001A">
      <w:pPr>
        <w:numPr>
          <w:ilvl w:val="0"/>
          <w:numId w:val="1"/>
        </w:num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r>
        <w:rPr>
          <w:rFonts w:ascii="Calibri"/>
          <w:b/>
          <w:sz w:val="20"/>
          <w:szCs w:val="20"/>
        </w:rPr>
        <w:t>Points cadeau chez Carrefour</w:t>
      </w:r>
    </w:p>
    <w:p w14:paraId="0000001B">
      <w:pPr>
        <w:pBdr>
          <w:top w:val="none" w:sz="4" w:space="0"/>
          <w:left w:val="none" w:sz="4" w:space="0"/>
          <w:bottom w:val="none" w:sz="4" w:space="0"/>
          <w:right w:val="none" w:sz="4" w:space="0"/>
          <w:between w:val="none" w:sz="4" w:space="0"/>
          <w:bar w:val="none" w:sz="4" w:space="0"/>
        </w:pBdr>
        <w:spacing w:line="240" w:lineRule="auto"/>
        <w:rPr>
          <w:rFonts w:ascii="Calibri"/>
          <w:b/>
          <w:sz w:val="20"/>
          <w:szCs w:val="20"/>
        </w:rPr>
      </w:pPr>
    </w:p>
    <w:p w14:paraId="0000001C">
      <w:r>
        <w:t>Début de réunion :  18h40</w:t>
      </w:r>
    </w:p>
    <w:p w14:paraId="0000001D"/>
    <w:p w14:paraId="0000001E">
      <w:pPr>
        <w:numPr>
          <w:ilvl w:val="0"/>
          <w:numId w:val="5"/>
        </w:numPr>
        <w:rPr>
          <w:b/>
          <w:bCs/>
        </w:rPr>
      </w:pPr>
      <w:r>
        <w:rPr>
          <w:b/>
          <w:bCs/>
        </w:rPr>
        <w:t>Estimation des frais de transactions par le site internet du CALR 2024/2025</w:t>
      </w:r>
    </w:p>
    <w:p w14:paraId="0000001F">
      <w:pPr>
        <w:jc w:val="center"/>
        <w:rPr>
          <w:color w:val="ff0000"/>
        </w:rPr>
      </w:pPr>
      <w:r>
        <w:rPr>
          <w:color w:val="ff0000"/>
        </w:rPr>
        <w:t>Taux : 1,5% avec un minimum de 0,50€</w:t>
      </w:r>
    </w:p>
    <w:p w14:paraId="00000020">
      <w:pPr>
        <w:numPr>
          <w:ilvl w:val="0"/>
          <w:numId w:val="2"/>
        </w:numPr>
        <w:rPr/>
      </w:pPr>
      <w:r>
        <w:t xml:space="preserve">Licences : </w:t>
      </w:r>
    </w:p>
    <w:p w14:paraId="00000021">
      <w:r>
        <w:t>Licence à 130€ = frais de 1,95€</w:t>
      </w:r>
    </w:p>
    <w:p w14:paraId="00000022">
      <w:r>
        <w:t>Licence à 145€ = frais de 2,18€</w:t>
      </w:r>
    </w:p>
    <w:p w14:paraId="00000023">
      <w:r>
        <w:t>Licence à 150€ = frais de 2,25€</w:t>
      </w:r>
    </w:p>
    <w:p w14:paraId="00000024">
      <w:r>
        <w:t>Licence à 165€ = frais de 2,50€</w:t>
      </w:r>
    </w:p>
    <w:p w14:paraId="00000025">
      <w:r>
        <w:rPr>
          <w:b/>
          <w:bCs/>
          <w:u w:val="single"/>
        </w:rPr>
        <w:t>Total 2024/2025</w:t>
      </w:r>
      <w:r>
        <w:t xml:space="preserve"> : 40890€ x 1,5% =</w:t>
      </w:r>
      <w:r>
        <w:rPr>
          <w:color w:val="ff0000"/>
        </w:rPr>
        <w:t xml:space="preserve"> 613,50€</w:t>
      </w:r>
    </w:p>
    <w:p w14:paraId="00000026">
      <w:pPr>
        <w:rPr>
          <w:sz w:val="16"/>
          <w:szCs w:val="16"/>
        </w:rPr>
      </w:pPr>
    </w:p>
    <w:p w14:paraId="00000027">
      <w:pPr>
        <w:numPr>
          <w:ilvl w:val="0"/>
          <w:numId w:val="3"/>
        </w:numPr>
        <w:rPr/>
      </w:pPr>
      <w:r>
        <w:t>Tenues sportives</w:t>
      </w:r>
    </w:p>
    <w:p w14:paraId="00000028">
      <w:r>
        <w:rPr>
          <w:b/>
          <w:bCs/>
          <w:u w:val="single"/>
        </w:rPr>
        <w:t>Total frais :</w:t>
      </w:r>
      <w:r>
        <w:t xml:space="preserve"> </w:t>
      </w:r>
      <w:r>
        <w:rPr>
          <w:color w:val="ff0000"/>
        </w:rPr>
        <w:t>46,20€</w:t>
      </w:r>
    </w:p>
    <w:p w14:paraId="00000029">
      <w:pPr>
        <w:rPr>
          <w:sz w:val="16"/>
          <w:szCs w:val="16"/>
        </w:rPr>
      </w:pPr>
    </w:p>
    <w:p w14:paraId="0000002A">
      <w:pPr>
        <w:numPr>
          <w:ilvl w:val="0"/>
          <w:numId w:val="4"/>
        </w:numPr>
        <w:rPr/>
      </w:pPr>
      <w:r>
        <w:t>Stage Bugeat</w:t>
      </w:r>
    </w:p>
    <w:p w14:paraId="0000002B">
      <w:r>
        <w:t>Frais/ athlète : 100€ x 1,5€ = 1,5€ (</w:t>
      </w:r>
      <w:r>
        <w:rPr>
          <w:b/>
          <w:bCs/>
          <w:u w:val="single"/>
        </w:rPr>
        <w:t xml:space="preserve">total </w:t>
      </w:r>
      <w:r>
        <w:t xml:space="preserve">: 12 x 1,5€ = </w:t>
      </w:r>
      <w:r>
        <w:rPr>
          <w:color w:val="ff0000"/>
        </w:rPr>
        <w:t>18€</w:t>
      </w:r>
      <w:r>
        <w:t>)</w:t>
      </w:r>
    </w:p>
    <w:p w14:paraId="0000002C">
      <w:pPr>
        <w:rPr>
          <w:sz w:val="16"/>
          <w:szCs w:val="16"/>
        </w:rPr>
      </w:pPr>
    </w:p>
    <w:p w14:paraId="0000002D">
      <w:pPr>
        <w:numPr>
          <w:ilvl w:val="0"/>
          <w:numId w:val="6"/>
        </w:numPr>
        <w:rPr/>
      </w:pPr>
      <w:r>
        <w:t xml:space="preserve">Trail de l’Améthyste </w:t>
      </w:r>
    </w:p>
    <w:p w14:paraId="0000002E">
      <w:r>
        <w:t xml:space="preserve">18 engagements inférieurs à 34€ = </w:t>
      </w:r>
      <w:r>
        <w:rPr>
          <w:color w:val="ff0000"/>
        </w:rPr>
        <w:t>9€</w:t>
      </w:r>
    </w:p>
    <w:p w14:paraId="0000002F">
      <w:pPr>
        <w:rPr>
          <w:color w:val="ff0000"/>
        </w:rPr>
      </w:pPr>
      <w:r>
        <w:t>Total engagements supérieurs à 34€ = 249€</w:t>
      </w:r>
      <w:bookmarkStart w:id="0" w:name="_GoBack"/>
      <w:bookmarkEnd w:id="0"/>
      <w:r>
        <w:t>,</w:t>
      </w:r>
      <w:r>
        <w:t xml:space="preserve"> frais 249€ x 1,5% = </w:t>
      </w:r>
      <w:r>
        <w:rPr>
          <w:color w:val="ff0000"/>
        </w:rPr>
        <w:t>3,75€</w:t>
      </w:r>
    </w:p>
    <w:p w14:paraId="00000030">
      <w:pPr>
        <w:rPr>
          <w:sz w:val="16"/>
          <w:szCs w:val="16"/>
        </w:rPr>
      </w:pPr>
    </w:p>
    <w:p w14:paraId="00000031">
      <w:pPr>
        <w:numPr>
          <w:ilvl w:val="0"/>
          <w:numId w:val="7"/>
        </w:numPr>
        <w:rPr/>
      </w:pPr>
      <w:r>
        <w:t xml:space="preserve">Foulées Vichyssoises </w:t>
      </w:r>
    </w:p>
    <w:p w14:paraId="00000032">
      <w:r>
        <w:t xml:space="preserve">Engagements : 44 virements x 0,50€ = </w:t>
      </w:r>
      <w:r>
        <w:rPr>
          <w:color w:val="ff0000"/>
        </w:rPr>
        <w:t>22€</w:t>
      </w:r>
    </w:p>
    <w:p w14:paraId="00000033">
      <w:r>
        <w:t>Restaurant : 0,51€ (34€ x 1,5%) x 29 personnes =</w:t>
      </w:r>
      <w:r>
        <w:rPr>
          <w:color w:val="ff0000"/>
        </w:rPr>
        <w:t>14,80€</w:t>
      </w:r>
    </w:p>
    <w:p w14:paraId="00000034"/>
    <w:p w14:paraId="00000035">
      <w:r>
        <w:t xml:space="preserve">L’avantage d’utiliser le site internet de notre club pour effectuer ce genre de transaction serait de le mettre en avant. En effet, à ce jour, peu de gens consulte les news ainsi que les infos diffusées sur celui-ci, cela permettrait donc de mettre en avant le travail effectué par certains membres du club sur ce site. </w:t>
      </w:r>
    </w:p>
    <w:p w14:paraId="00000036">
      <w:r>
        <w:t>Cela évite également d’utiliser une autre plate-forme et donc d’ajouter une nouvelle adresse internet à utiliser</w:t>
      </w:r>
    </w:p>
    <w:p w14:paraId="00000037">
      <w:r>
        <w:t xml:space="preserve">De plus, le fait d’effectuer nos transactions par ce biais serait un atout au niveau de la trésorerie du club car les virements seront automatiquement reliés à un compte. Ainsi, Sébastien ROGUE n’aura pas à chercher de qui vient tel ou tel virement comme cela a pu se produire cette année. </w:t>
      </w:r>
    </w:p>
    <w:p w14:paraId="00000038">
      <w:r>
        <w:t>A l’unanimité, il a été voté que lors de la prochaine saison nous utiliserions le site du club pour effectuer la majeure partie des transactions (licences, tenues, évènements, ...).</w:t>
      </w:r>
    </w:p>
    <w:p w14:paraId="00000039"/>
    <w:p w14:paraId="0000003A">
      <w:pPr>
        <w:numPr>
          <w:ilvl w:val="0"/>
          <w:numId w:val="8"/>
        </w:numPr>
        <w:rPr>
          <w:b/>
          <w:bCs/>
        </w:rPr>
      </w:pPr>
      <w:r>
        <w:rPr>
          <w:b/>
          <w:bCs/>
        </w:rPr>
        <w:t xml:space="preserve">Budget prévisionnel pour le stage de Bugeat : </w:t>
      </w:r>
    </w:p>
    <w:p w14:paraId="0000003B">
      <w:r>
        <w:t xml:space="preserve">En comptant le logement et le transport, le montant du stage s’élèverait à 6422,80€. </w:t>
      </w:r>
    </w:p>
    <w:p w14:paraId="0000003C">
      <w:r>
        <w:t xml:space="preserve">Les athlètes payant une </w:t>
      </w:r>
      <w:r>
        <w:t>particip</w:t>
      </w:r>
      <w:r>
        <w:t xml:space="preserve">ation de 100€, pour 12 athlètes ça fait une participation de 1200€. </w:t>
      </w:r>
    </w:p>
    <w:p w14:paraId="0000003D">
      <w:r>
        <w:t>En rajoutant les bénéfices de chaque buvette (environ 1200€) à la cotisation des participants, le reste à charge du club serait d’environ 4000€.</w:t>
      </w:r>
    </w:p>
    <w:p w14:paraId="0000003E">
      <w:r>
        <w:t xml:space="preserve">Il a été décidé de bien rester à 100€ de participation pour les athlètes. </w:t>
      </w:r>
    </w:p>
    <w:p w14:paraId="0000003F">
      <w:r>
        <w:t>En fin de stage, il faudra faire un point avec les athlètes pour savoir si à l’avenir on reste sur 5 jours de stage ou si on repasse à 3.</w:t>
      </w:r>
    </w:p>
    <w:p w14:paraId="00000040"/>
    <w:p w14:paraId="00000041">
      <w:pPr>
        <w:numPr>
          <w:ilvl w:val="0"/>
          <w:numId w:val="9"/>
        </w:numPr>
        <w:rPr>
          <w:b/>
          <w:bCs/>
        </w:rPr>
      </w:pPr>
      <w:r>
        <w:rPr>
          <w:b/>
          <w:bCs/>
        </w:rPr>
        <w:t xml:space="preserve">Nouveaux maillots </w:t>
      </w:r>
    </w:p>
    <w:p w14:paraId="00000042">
      <w:r>
        <w:t>Les maillots présentant un défaut (R</w:t>
      </w:r>
      <w:r>
        <w:t xml:space="preserve"> en trop</w:t>
      </w:r>
      <w:r>
        <w:t xml:space="preserve"> à loisir) seront distribués aux licences loisirs qui en feront la demande</w:t>
      </w:r>
      <w:r>
        <w:t xml:space="preserve"> car ce sont des maillots supplémentaires dont dispose le club, alors qu’à l’origine cette 1</w:t>
      </w:r>
      <w:r>
        <w:rPr>
          <w:vertAlign w:val="superscript"/>
        </w:rPr>
        <w:t>ère</w:t>
      </w:r>
      <w:r>
        <w:t xml:space="preserve"> livraison de maillot n’était </w:t>
      </w:r>
      <w:r>
        <w:t>prévue</w:t>
      </w:r>
      <w:r>
        <w:t xml:space="preserve"> que pour les licences compétitions en attendant une nouvelle commande en 2026.</w:t>
      </w:r>
    </w:p>
    <w:p w14:paraId="00000043"/>
    <w:p w14:paraId="00000044">
      <w:pPr>
        <w:numPr>
          <w:ilvl w:val="0"/>
          <w:numId w:val="10"/>
        </w:numPr>
        <w:rPr>
          <w:b/>
          <w:bCs/>
        </w:rPr>
      </w:pPr>
      <w:r>
        <w:rPr>
          <w:b/>
          <w:bCs/>
        </w:rPr>
        <w:t xml:space="preserve">Point sur les entraineurs </w:t>
      </w:r>
    </w:p>
    <w:p w14:paraId="00000045">
      <w:pPr>
        <w:numPr>
          <w:ilvl w:val="0"/>
          <w:numId w:val="27"/>
        </w:numPr>
        <w:rPr/>
      </w:pPr>
      <w:r>
        <w:t>Groupe Benjamins/Minimes</w:t>
      </w:r>
    </w:p>
    <w:p w14:paraId="00000046">
      <w:r>
        <w:t xml:space="preserve">Julie LE BOBINNEC LABRUYERE souhaitant arrêter d’entrainer les minimes l’an prochain, il va donc falloir trouver quelqu’un d’autre pour la remplacer. L’idée de mettre Bryan Mucret comme entraineur principal de ce groupe est évoquée. Sinon voir avec Jean-Luc BAGES s’il est intéressé. </w:t>
      </w:r>
    </w:p>
    <w:p w14:paraId="00000047">
      <w:pPr>
        <w:numPr>
          <w:ilvl w:val="0"/>
          <w:numId w:val="28"/>
        </w:numPr>
        <w:rPr/>
      </w:pPr>
      <w:r>
        <w:t xml:space="preserve">Groupe haies </w:t>
      </w:r>
    </w:p>
    <w:p w14:paraId="00000048">
      <w:r>
        <w:t>Florian SARRON continuera d’entrainer l’an prochain.</w:t>
      </w:r>
    </w:p>
    <w:p w14:paraId="00000049">
      <w:pPr>
        <w:numPr>
          <w:ilvl w:val="0"/>
          <w:numId w:val="29"/>
        </w:numPr>
        <w:rPr/>
      </w:pPr>
      <w:r>
        <w:t>Groupe demi-fond piste</w:t>
      </w:r>
    </w:p>
    <w:p w14:paraId="0000004A">
      <w:r>
        <w:t>Thomas RECOCHE et Benoit LE BOBINNEC LABRUYERE souhaitent continuer de s’impliquer au sein de leur groupe mais ils désirent arrêter les séances</w:t>
      </w:r>
      <w:r>
        <w:t xml:space="preserve"> systématiques</w:t>
      </w:r>
      <w:r>
        <w:t xml:space="preserve"> du samedi matin vu le peu de personnes y participant. </w:t>
      </w:r>
    </w:p>
    <w:p w14:paraId="0000004B">
      <w:pPr>
        <w:numPr>
          <w:ilvl w:val="0"/>
          <w:numId w:val="30"/>
        </w:numPr>
        <w:rPr/>
      </w:pPr>
      <w:r>
        <w:t xml:space="preserve">Groupe Tamalous </w:t>
      </w:r>
    </w:p>
    <w:p w14:paraId="0000004C">
      <w:r>
        <w:t>Guillaume NOIRJEAN poursuivra également l’année prochaine.</w:t>
      </w:r>
    </w:p>
    <w:p w14:paraId="0000004D">
      <w:pPr>
        <w:numPr>
          <w:ilvl w:val="0"/>
          <w:numId w:val="11"/>
        </w:numPr>
        <w:rPr>
          <w:b/>
          <w:bCs/>
        </w:rPr>
      </w:pPr>
      <w:r>
        <w:rPr>
          <w:b/>
          <w:bCs/>
        </w:rPr>
        <w:t>Subvention Fond de Développement de la Vie Associative</w:t>
      </w:r>
    </w:p>
    <w:p w14:paraId="0000004E">
      <w:r>
        <w:t>Marc RECOCHE est allé à l’un des ateliers proposés par l</w:t>
      </w:r>
      <w:r>
        <w:t>es services de l’</w:t>
      </w:r>
      <w:r>
        <w:t>État</w:t>
      </w:r>
      <w:r>
        <w:t xml:space="preserve"> afin de préparer le dossier de manière adéquat. Il a </w:t>
      </w:r>
      <w:r>
        <w:t>appris</w:t>
      </w:r>
      <w:r>
        <w:t xml:space="preserve"> que cette subvention ne peut être obtenue qu’une seule fois par association. En effet, une fois que nous l’avons perçue, on ne peut plus l’avoir les années suivantes. </w:t>
      </w:r>
    </w:p>
    <w:p w14:paraId="0000004F">
      <w:r>
        <w:t xml:space="preserve">3 points sont importants pour effectuer la demande : </w:t>
      </w:r>
    </w:p>
    <w:p w14:paraId="00000050">
      <w:pPr>
        <w:numPr>
          <w:ilvl w:val="0"/>
          <w:numId w:val="31"/>
        </w:numPr>
        <w:rPr/>
      </w:pPr>
      <w:r>
        <w:t xml:space="preserve">Soit on accentue sur les “formations” </w:t>
      </w:r>
    </w:p>
    <w:p w14:paraId="00000051">
      <w:pPr>
        <w:numPr>
          <w:ilvl w:val="0"/>
          <w:numId w:val="31"/>
        </w:numPr>
        <w:rPr/>
      </w:pPr>
      <w:r>
        <w:t xml:space="preserve">Soit sur un “projet innovant” proposé par notre asso </w:t>
      </w:r>
    </w:p>
    <w:p w14:paraId="00000052">
      <w:pPr>
        <w:numPr>
          <w:ilvl w:val="0"/>
          <w:numId w:val="31"/>
        </w:numPr>
        <w:rPr/>
      </w:pPr>
      <w:r>
        <w:t xml:space="preserve">Soit sur le “fonctionnement” de notre club </w:t>
      </w:r>
    </w:p>
    <w:p w14:paraId="00000053">
      <w:r>
        <w:t xml:space="preserve">Marc a effectué le dossier en nous inscrivant sur la partie plutôt “Fonctionnement”. </w:t>
      </w:r>
    </w:p>
    <w:p w14:paraId="00000054">
      <w:r>
        <w:t>Les résultats seront donnés début juin</w:t>
      </w:r>
      <w:r>
        <w:t>, la demande de subvention portant sur 5000 €.</w:t>
      </w:r>
    </w:p>
    <w:p w14:paraId="00000055"/>
    <w:p w14:paraId="00000056">
      <w:pPr>
        <w:numPr>
          <w:ilvl w:val="0"/>
          <w:numId w:val="32"/>
        </w:numPr>
        <w:rPr>
          <w:b/>
          <w:bCs/>
        </w:rPr>
      </w:pPr>
      <w:r>
        <w:rPr>
          <w:b/>
          <w:bCs/>
        </w:rPr>
        <w:t xml:space="preserve">Subvention de la </w:t>
      </w:r>
      <w:r>
        <w:rPr>
          <w:b/>
          <w:bCs/>
        </w:rPr>
        <w:t>mairie :</w:t>
      </w:r>
      <w:r>
        <w:rPr>
          <w:b/>
          <w:bCs/>
        </w:rPr>
        <w:t xml:space="preserve"> </w:t>
      </w:r>
    </w:p>
    <w:p w14:paraId="00000057">
      <w:r>
        <w:t xml:space="preserve">Pour le fonctionnement du club, nous avons perçu une plus grosse participation de la mairie par rapport </w:t>
      </w:r>
      <w:r>
        <w:t>à l’année dernière</w:t>
      </w:r>
      <w:r>
        <w:t xml:space="preserve"> : 7838€, soit 800€ de plus qu</w:t>
      </w:r>
      <w:r>
        <w:t>’en 2024</w:t>
      </w:r>
      <w:r>
        <w:t xml:space="preserve">. </w:t>
      </w:r>
    </w:p>
    <w:p w14:paraId="00000058">
      <w:r>
        <w:t>Par contre, au niveau des évènements proposés par le club (cross + Mirabel), nous avons reçu seulement 750€ soit 200€ de moins par rapport à l’an dernier.</w:t>
      </w:r>
    </w:p>
    <w:p w14:paraId="00000059"/>
    <w:p w14:paraId="0000005A">
      <w:pPr>
        <w:numPr>
          <w:ilvl w:val="0"/>
          <w:numId w:val="12"/>
        </w:numPr>
        <w:rPr>
          <w:b/>
          <w:bCs/>
        </w:rPr>
      </w:pPr>
      <w:r>
        <w:rPr>
          <w:b/>
          <w:bCs/>
        </w:rPr>
        <w:t>Label FFA</w:t>
      </w:r>
    </w:p>
    <w:p w14:paraId="0000005B">
      <w:r>
        <w:t xml:space="preserve">Bronze pour le Stade </w:t>
      </w:r>
    </w:p>
    <w:p w14:paraId="0000005C">
      <w:r>
        <w:t xml:space="preserve">Argent pour le Running </w:t>
      </w:r>
    </w:p>
    <w:p w14:paraId="0000005D">
      <w:r>
        <w:t xml:space="preserve">Argent pour l’Education Athlétique </w:t>
      </w:r>
    </w:p>
    <w:p w14:paraId="0000005E">
      <w:r>
        <w:t>Donc idem saison passée, par contre la subvention de la FFA pour les labels est de 500 € au lieu de 560 € la saison précédente</w:t>
      </w:r>
    </w:p>
    <w:p w14:paraId="0000005F"/>
    <w:p w14:paraId="00000060">
      <w:pPr>
        <w:numPr>
          <w:ilvl w:val="0"/>
          <w:numId w:val="13"/>
        </w:numPr>
        <w:rPr/>
      </w:pPr>
      <w:r>
        <w:rPr>
          <w:b/>
          <w:bCs/>
        </w:rPr>
        <w:t>Projet de local du club</w:t>
      </w:r>
    </w:p>
    <w:p w14:paraId="00000061">
      <w:r>
        <w:t>Le local qui nous est promis depuis maintenant un an et demi devrait bientôt nous être confié, après quelques travaux d’électricité. Ce local n’étant pas définitif au vu du probable déplacement des stands de tirs ailleurs dans les années à venir. Il nous propose l’accès à des salles de “l’O</w:t>
      </w:r>
      <w:r>
        <w:t>PERA</w:t>
      </w:r>
      <w:r>
        <w:t>”, située</w:t>
      </w:r>
      <w:r>
        <w:t xml:space="preserve"> </w:t>
      </w:r>
      <w:r>
        <w:t>derrière</w:t>
      </w:r>
      <w:r>
        <w:t xml:space="preserve"> le gymnase Jean Zay : </w:t>
      </w:r>
    </w:p>
    <w:p w14:paraId="00000062">
      <w:pPr>
        <w:numPr>
          <w:ilvl w:val="0"/>
          <w:numId w:val="33"/>
        </w:numPr>
        <w:rPr/>
      </w:pPr>
      <w:r>
        <w:t xml:space="preserve">Un bureau de 10m2 auquel on serait les seul à avoir accès pour déposer un ordinateur et </w:t>
      </w:r>
      <w:r>
        <w:t>une imprimante</w:t>
      </w:r>
      <w:r>
        <w:t xml:space="preserve"> par exemple. Ce bureau, nous pouvons l’avoir </w:t>
      </w:r>
      <w:r>
        <w:t>très rapidement</w:t>
      </w:r>
      <w:r>
        <w:t xml:space="preserve">. </w:t>
      </w:r>
    </w:p>
    <w:p w14:paraId="00000063">
      <w:pPr>
        <w:numPr>
          <w:ilvl w:val="0"/>
          <w:numId w:val="33"/>
        </w:numPr>
        <w:rPr/>
      </w:pPr>
      <w:r>
        <w:t>Des</w:t>
      </w:r>
      <w:r>
        <w:t xml:space="preserve"> salle</w:t>
      </w:r>
      <w:r>
        <w:t>s</w:t>
      </w:r>
      <w:r>
        <w:t xml:space="preserve"> de réunion, partagée</w:t>
      </w:r>
      <w:r>
        <w:t>s</w:t>
      </w:r>
      <w:r>
        <w:t xml:space="preserve"> avec les autres associations, auquel nous aurons la possibilité d’accéder qu’en 2026. </w:t>
      </w:r>
    </w:p>
    <w:p w14:paraId="00000064">
      <w:pPr>
        <w:numPr>
          <w:ilvl w:val="0"/>
          <w:numId w:val="14"/>
        </w:numPr>
        <w:rPr>
          <w:b/>
          <w:bCs/>
        </w:rPr>
      </w:pPr>
      <w:r>
        <w:rPr>
          <w:b/>
          <w:bCs/>
        </w:rPr>
        <w:t xml:space="preserve">Interclubs 1er tour à Moulins </w:t>
      </w:r>
    </w:p>
    <w:p w14:paraId="00000065">
      <w:r>
        <w:t xml:space="preserve">Le 1er tour des interclubs aura lieu le samedi 3 mai à moulins. </w:t>
      </w:r>
    </w:p>
    <w:p w14:paraId="00000066">
      <w:r>
        <w:t xml:space="preserve">Le trajet se fera en bus. René DEBRION s’occupera de le réserver prochainement. </w:t>
      </w:r>
    </w:p>
    <w:p w14:paraId="00000067">
      <w:r>
        <w:t xml:space="preserve">Il va falloir commencer à bien en parler à l’ensemble des entraîneurs afin d’y aller avec le plus grand nombre d’athlètes. </w:t>
      </w:r>
    </w:p>
    <w:p w14:paraId="00000068"/>
    <w:p w14:paraId="00000069">
      <w:pPr>
        <w:numPr>
          <w:ilvl w:val="0"/>
          <w:numId w:val="16"/>
        </w:numPr>
        <w:rPr/>
      </w:pPr>
      <w:r>
        <w:rPr>
          <w:b/>
          <w:bCs/>
        </w:rPr>
        <w:t xml:space="preserve">Interclubs 2ème tour à Vichy </w:t>
      </w:r>
    </w:p>
    <w:p w14:paraId="0000006A">
      <w:r>
        <w:t xml:space="preserve">Le deuxième tour des interclubs se tiendra quant à lui le 17 mai à Vichy. </w:t>
      </w:r>
    </w:p>
    <w:p w14:paraId="0000006B">
      <w:r>
        <w:t xml:space="preserve">Les athlètes, juges et encourageants devront y aller en covoiturage. </w:t>
      </w:r>
    </w:p>
    <w:p w14:paraId="0000006C"/>
    <w:p w14:paraId="0000006D">
      <w:pPr>
        <w:numPr>
          <w:ilvl w:val="0"/>
          <w:numId w:val="15"/>
        </w:numPr>
        <w:rPr/>
      </w:pPr>
      <w:r>
        <w:rPr>
          <w:b/>
          <w:bCs/>
        </w:rPr>
        <w:t xml:space="preserve">Organisation d’un moment sportif et festif de fin d’année </w:t>
      </w:r>
    </w:p>
    <w:p w14:paraId="0000006E">
      <w:r>
        <w:t xml:space="preserve">Julie LE BOBINNEC LABRUYERE étant absente lors de la réunion nous verront via WhatsApp si elle est toujours d’accord pour s’en occuper cette année avec Florian SARRON comme binôme. </w:t>
      </w:r>
    </w:p>
    <w:p w14:paraId="0000006F">
      <w:r>
        <w:t xml:space="preserve">En fonction de leur réponse, une date sera ensuite très vite fixée. </w:t>
      </w:r>
    </w:p>
    <w:p w14:paraId="00000070"/>
    <w:p w14:paraId="00000071">
      <w:pPr>
        <w:numPr>
          <w:ilvl w:val="0"/>
          <w:numId w:val="17"/>
        </w:numPr>
        <w:rPr>
          <w:b/>
          <w:bCs/>
        </w:rPr>
      </w:pPr>
      <w:r>
        <w:rPr>
          <w:b/>
          <w:bCs/>
        </w:rPr>
        <w:t xml:space="preserve">Intervenant pour l’AG </w:t>
      </w:r>
    </w:p>
    <w:p w14:paraId="00000072">
      <w:r>
        <w:t>Il va falloir réfléchir très prochainement à un sujet qu’il serait bien d’aborder en AG.</w:t>
      </w:r>
    </w:p>
    <w:p w14:paraId="00000073">
      <w:r>
        <w:t xml:space="preserve">Lors des dernières années, nous avons fait venir une nutritionniste et un préparateur mental. </w:t>
      </w:r>
    </w:p>
    <w:p w14:paraId="00000074"/>
    <w:p w14:paraId="00000075">
      <w:pPr>
        <w:numPr>
          <w:ilvl w:val="0"/>
          <w:numId w:val="18"/>
        </w:numPr>
        <w:rPr>
          <w:b/>
          <w:bCs/>
        </w:rPr>
      </w:pPr>
      <w:r>
        <w:rPr>
          <w:b/>
          <w:bCs/>
        </w:rPr>
        <w:t xml:space="preserve">Monclub.athle.fr : </w:t>
      </w:r>
    </w:p>
    <w:p w14:paraId="00000076">
      <w:r>
        <w:t xml:space="preserve">On a accès à plusieurs infos sur les clubs : </w:t>
      </w:r>
    </w:p>
    <w:p w14:paraId="00000077">
      <w:pPr>
        <w:numPr>
          <w:ilvl w:val="0"/>
          <w:numId w:val="19"/>
        </w:numPr>
        <w:rPr/>
      </w:pPr>
      <w:r>
        <w:t>Nombre de licenciés</w:t>
      </w:r>
    </w:p>
    <w:p w14:paraId="00000078">
      <w:pPr>
        <w:numPr>
          <w:ilvl w:val="0"/>
          <w:numId w:val="20"/>
        </w:numPr>
        <w:rPr/>
      </w:pPr>
      <w:r>
        <w:t>Nombre de clubs</w:t>
      </w:r>
    </w:p>
    <w:p w14:paraId="00000079">
      <w:pPr>
        <w:numPr>
          <w:ilvl w:val="0"/>
          <w:numId w:val="20"/>
        </w:numPr>
        <w:rPr/>
      </w:pPr>
      <w:r>
        <w:t>Quotas filles/garçons dans le club</w:t>
      </w:r>
    </w:p>
    <w:p w14:paraId="0000007A">
      <w:pPr>
        <w:numPr>
          <w:ilvl w:val="0"/>
          <w:numId w:val="21"/>
        </w:numPr>
        <w:rPr/>
      </w:pPr>
      <w:r>
        <w:t>Compte rendu de la FFA</w:t>
      </w:r>
    </w:p>
    <w:p w14:paraId="0000007B">
      <w:pPr>
        <w:numPr>
          <w:ilvl w:val="0"/>
          <w:numId w:val="22"/>
        </w:numPr>
        <w:rPr/>
      </w:pPr>
      <w:r>
        <w:t>Plans d’entrainements</w:t>
      </w:r>
    </w:p>
    <w:p w14:paraId="0000007C"/>
    <w:p w14:paraId="0000007D">
      <w:pPr>
        <w:numPr>
          <w:ilvl w:val="0"/>
          <w:numId w:val="23"/>
        </w:numPr>
        <w:rPr>
          <w:b/>
          <w:bCs/>
        </w:rPr>
      </w:pPr>
      <w:r>
        <w:rPr>
          <w:b/>
          <w:bCs/>
        </w:rPr>
        <w:t xml:space="preserve">Point sur les boîtes mails : </w:t>
      </w:r>
    </w:p>
    <w:p w14:paraId="0000007E">
      <w:r>
        <w:t xml:space="preserve">Le club compte un grand nombre d’adresse mail </w:t>
      </w:r>
      <w:r>
        <w:t>qui ne sont pas</w:t>
      </w:r>
      <w:r>
        <w:t xml:space="preserve"> ou peu utilisées, nous verrons avec Julien CHANSSEAUME et Thierry BASTERRE lesquelles sont encore utiles</w:t>
      </w:r>
      <w:r>
        <w:t>.</w:t>
      </w:r>
    </w:p>
    <w:p w14:paraId="0000007F">
      <w:r>
        <w:t xml:space="preserve">Aujourd’hui, l’adresse mail principale du club est : </w:t>
      </w:r>
      <w:r>
        <w:fldChar w:fldCharType="begin"/>
      </w:r>
      <w:r>
        <w:instrText xml:space="preserve">HYPERLINK "mailto:cal.riom63200@gmail.com" </w:instrText>
      </w:r>
      <w:r>
        <w:fldChar w:fldCharType="separate"/>
      </w:r>
      <w:r>
        <w:rPr>
          <w:rStyle w:val="Hyperlink"/>
        </w:rPr>
        <w:t>cal.riom63200@gmail.com</w:t>
      </w:r>
      <w:r>
        <w:fldChar w:fldCharType="end"/>
      </w:r>
      <w:r>
        <w:t xml:space="preserve"> </w:t>
      </w:r>
    </w:p>
    <w:p w14:paraId="00000080"/>
    <w:p w14:paraId="00000081">
      <w:pPr>
        <w:numPr>
          <w:ilvl w:val="0"/>
          <w:numId w:val="24"/>
        </w:numPr>
        <w:rPr/>
      </w:pPr>
      <w:bookmarkStart w:id="1" w:name="_Hlk193746224"/>
      <w:r>
        <w:rPr>
          <w:b/>
          <w:bCs/>
        </w:rPr>
        <w:t xml:space="preserve">Recenser les médaillés FFA </w:t>
      </w:r>
    </w:p>
    <w:p w14:paraId="00000082">
      <w:bookmarkEnd w:id="1"/>
      <w:r>
        <w:t xml:space="preserve">Afin de mettre en avant les personnes qui se sont dévouées pour le club, nous mettrons en avant l’ensemble de nos médaillés FFA </w:t>
      </w:r>
      <w:r>
        <w:t>et « Jeunesse et Sports</w:t>
      </w:r>
      <w:r>
        <w:t> » sur</w:t>
      </w:r>
      <w:r>
        <w:t xml:space="preserve"> le site du club. </w:t>
      </w:r>
    </w:p>
    <w:p w14:paraId="00000083"/>
    <w:p w14:paraId="00000084">
      <w:pPr>
        <w:numPr>
          <w:ilvl w:val="0"/>
          <w:numId w:val="25"/>
        </w:numPr>
        <w:rPr>
          <w:b/>
          <w:bCs/>
        </w:rPr>
      </w:pPr>
      <w:r>
        <w:rPr>
          <w:b/>
          <w:bCs/>
        </w:rPr>
        <w:t>Points carrefour (</w:t>
      </w:r>
      <w:r>
        <w:rPr>
          <w:b/>
          <w:bCs/>
          <w:color w:val="4472c4" w:themeColor="accent1"/>
          <w:u w:val="single"/>
        </w:rPr>
        <w:t>https://mon-club-de-sport.carrefour.fr</w:t>
      </w:r>
      <w:r>
        <w:rPr>
          <w:b/>
          <w:bCs/>
        </w:rPr>
        <w:t>)</w:t>
      </w:r>
    </w:p>
    <w:p w14:paraId="00000085">
      <w:r>
        <w:rPr>
          <w:color w:val="ff0000"/>
        </w:rPr>
        <w:t>Points du CALR au 07/03/2025 : 5576 points</w:t>
      </w:r>
    </w:p>
    <w:p w14:paraId="00000086">
      <w:r>
        <w:t>Ces points sont gagnés grâce aux personnes qui ont choisi de soutenir notre association en faisant leurs courses alimentaires. Afin d’y participer, il faut avoir une carte</w:t>
      </w:r>
      <w:r>
        <w:t xml:space="preserve"> de fidélité</w:t>
      </w:r>
      <w:r>
        <w:t xml:space="preserve"> carrefour et associer votre carte fidélité à notre association. Ensuite, en faisant vos courses, certains produits permettent de nous rapporter des points</w:t>
      </w:r>
      <w:r>
        <w:t xml:space="preserve"> (particulièrement les fruits et légumes)</w:t>
      </w:r>
      <w:r>
        <w:t xml:space="preserve">. Grâce aux points, nous pouvons obtenir du matériel. </w:t>
      </w:r>
    </w:p>
    <w:p w14:paraId="00000087">
      <w:r>
        <w:t>Exemples :</w:t>
      </w:r>
    </w:p>
    <w:p w14:paraId="00000088">
      <w:pPr>
        <w:numPr>
          <w:ilvl w:val="0"/>
          <w:numId w:val="26"/>
        </w:numPr>
        <w:rPr/>
      </w:pPr>
      <w:r>
        <w:t>Lot de nattes de gymnastique 180 x 60 x 1,5 : 5025 points</w:t>
      </w:r>
    </w:p>
    <w:p w14:paraId="00000089">
      <w:pPr>
        <w:numPr>
          <w:ilvl w:val="0"/>
          <w:numId w:val="26"/>
        </w:numPr>
        <w:rPr/>
      </w:pPr>
      <w:r>
        <w:t>Lot de 2 x 40 coupelles de couleur diamètre 19 cm : 525 points</w:t>
      </w:r>
    </w:p>
    <w:p w14:paraId="0000008A">
      <w:pPr>
        <w:numPr>
          <w:ilvl w:val="0"/>
          <w:numId w:val="26"/>
        </w:numPr>
        <w:rPr/>
      </w:pPr>
      <w:r>
        <w:t>Lot de 10 piquets avec articulation pour slalom : 675 points</w:t>
      </w:r>
    </w:p>
    <w:p w14:paraId="0000008B">
      <w:pPr>
        <w:numPr>
          <w:ilvl w:val="0"/>
          <w:numId w:val="26"/>
        </w:numPr>
        <w:rPr/>
      </w:pPr>
      <w:r>
        <w:t xml:space="preserve">Lot de 6 médecines Ball (1 - 1,5 - 2 - 3 - 4 - 5kg) : 2100 points </w:t>
      </w:r>
    </w:p>
    <w:p w14:paraId="0000008C">
      <w:pPr>
        <w:numPr>
          <w:ilvl w:val="0"/>
          <w:numId w:val="26"/>
        </w:numPr>
        <w:rPr/>
      </w:pPr>
      <w:r>
        <w:t xml:space="preserve">Lot de 3 chronomètres Delta : 975 points </w:t>
      </w:r>
    </w:p>
    <w:p w14:paraId="0000008D">
      <w:pPr>
        <w:numPr>
          <w:ilvl w:val="0"/>
          <w:numId w:val="26"/>
        </w:numPr>
        <w:rPr/>
      </w:pPr>
      <w:r>
        <w:t xml:space="preserve">Lot de 4 mini-haies (4 hauteurs) : 1275 </w:t>
      </w:r>
      <w:r>
        <w:t>points</w:t>
      </w:r>
    </w:p>
    <w:p w14:paraId="0000008E">
      <w:pPr>
        <w:numPr>
          <w:ilvl w:val="0"/>
          <w:numId w:val="26"/>
        </w:numPr>
        <w:rPr/>
      </w:pPr>
      <w:r>
        <w:t>Ordinateur portable notebook MEDION, écran 15,6 pouces : 5250 points</w:t>
      </w:r>
    </w:p>
    <w:p w14:paraId="0000008F">
      <w:pPr>
        <w:numPr>
          <w:ilvl w:val="0"/>
          <w:numId w:val="24"/>
        </w:numPr>
        <w:rPr>
          <w:b/>
          <w:bCs/>
        </w:rPr>
      </w:pPr>
      <w:r>
        <w:rPr>
          <w:b/>
          <w:bCs/>
        </w:rPr>
        <w:t>Clés des locaux pour les entraîneurs</w:t>
      </w:r>
    </w:p>
    <w:p w14:paraId="00000090">
      <w:pPr>
        <w:rPr>
          <w:bCs/>
        </w:rPr>
      </w:pPr>
      <w:r>
        <w:rPr>
          <w:bCs/>
        </w:rPr>
        <w:t>Devant l’impossibilité d’obtenir des exemplaires supplémentaires des clés des locaux de la part de la Mairie (« clés à organigramme »), il est décidé qu’une boîte à clés sera fixée dans le futur local situé sur le stade car il est possible de dupliquer les clés de ce futur local.</w:t>
      </w:r>
    </w:p>
    <w:p w14:paraId="00000091">
      <w:pPr>
        <w:numPr>
          <w:ilvl w:val="0"/>
          <w:numId w:val="24"/>
        </w:numPr>
        <w:rPr>
          <w:b/>
        </w:rPr>
      </w:pPr>
      <w:r>
        <w:rPr>
          <w:b/>
        </w:rPr>
        <w:t>Gestion de la piste les mardis soir</w:t>
      </w:r>
    </w:p>
    <w:p w14:paraId="00000092">
      <w:r>
        <w:t>Il est rappelé aux groupes « Athlé à ta santé » et « Tamalous » d’être vigilants lors de l’utilisation de la piste (gammes d’échauffement, fractionné, traversée de la piste, …) les mardis soir car les groupes Sprint, Haies et Demi-fond réalisent des séances à haute intensité.</w:t>
      </w:r>
    </w:p>
    <w:p w14:paraId="00000093">
      <w:r>
        <w:t>Fin de réunion : 20h</w:t>
      </w:r>
    </w:p>
    <w:sectPr>
      <w:pgSz w:w="11906" w:h="16838"/>
      <w:pgMar w:top="1440" w:right="1440" w:bottom="1440" w:left="1440" w:header="708" w:footer="708" w:gutter="0"/>
      <w:paperSrc w:first="1" w:other="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00000000" w:usb1="00000000" w:usb2="00000009" w:usb3="00000000" w:csb0="000001ff"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Symbol">
    <w:panose1 w:val="05050102010706020507"/>
    <w:charset w:val="02"/>
    <w:family w:val="roman"/>
    <w:pitch w:val="variable"/>
    <w:sig w:usb0="00000000" w:usb1="10000000" w:usb2="00000000" w:usb3="00000000" w:csb0="00000000" w:csb1="00000000"/>
  </w:font>
  <w:font w:name="DengXian">
    <w:altName w:val="等线"/>
    <w:panose1 w:val="02010600030101010101"/>
    <w:charset w:val="86"/>
    <w:family w:val="auto"/>
    <w:pitch w:val="variable"/>
    <w:sig w:usb0="00000000" w:usb1="38cf7cfa" w:usb2="00000016" w:usb3="00000000" w:csb0="0004000f"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DengXian Light">
    <w:altName w:val="等线 Light"/>
    <w:charset w:val="86"/>
    <w:family w:val="auto"/>
    <w:pitch w:val="variable"/>
    <w:sig w:usb0="00000000" w:usb1="38cf7cfa" w:usb2="00000016" w:usb3="00000000" w:csb0="0004000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4">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5">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6">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7">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8">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9">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0">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1">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2">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3">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4">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5">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6">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7">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8">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9">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0">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1">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2">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3">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4">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5">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6">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7">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8">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9">
    <w:multiLevelType w:val="hybridMultilevel"/>
    <w:lvl w:ilvl="0" w:tentative="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0">
    <w:multiLevelType w:val="hybridMultilevel"/>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1">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32">
    <w:multiLevelType w:val="hybridMultilevel"/>
    <w:lvl w:ilvl="0" w:tentative="0">
      <w:start w:val="1"/>
      <w:numFmt w:val="bullet"/>
      <w:lvlText w:val="-"/>
      <w:lvlJc w:val="left"/>
      <w:pPr>
        <w:ind w:left="720" w:hanging="360"/>
      </w:pPr>
      <w:rPr>
        <w:rFonts w:ascii="Calibri" w:hAnsi="Calibri"/>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num w:numId="1">
    <w:abstractNumId w:val="30"/>
  </w:num>
  <w:num w:numId="2">
    <w:abstractNumId w:val="21"/>
  </w:num>
  <w:num w:numId="3">
    <w:abstractNumId w:val="15"/>
  </w:num>
  <w:num w:numId="4">
    <w:abstractNumId w:val="18"/>
  </w:num>
  <w:num w:numId="5">
    <w:abstractNumId w:val="28"/>
  </w:num>
  <w:num w:numId="6">
    <w:abstractNumId w:val="0"/>
  </w:num>
  <w:num w:numId="7">
    <w:abstractNumId w:val="27"/>
  </w:num>
  <w:num w:numId="8">
    <w:abstractNumId w:val="4"/>
  </w:num>
  <w:num w:numId="9">
    <w:abstractNumId w:val="9"/>
  </w:num>
  <w:num w:numId="10">
    <w:abstractNumId w:val="2"/>
  </w:num>
  <w:num w:numId="11">
    <w:abstractNumId w:val="24"/>
  </w:num>
  <w:num w:numId="12">
    <w:abstractNumId w:val="10"/>
  </w:num>
  <w:num w:numId="13">
    <w:abstractNumId w:val="29"/>
  </w:num>
  <w:num w:numId="14">
    <w:abstractNumId w:val="25"/>
  </w:num>
  <w:num w:numId="15">
    <w:abstractNumId w:val="19"/>
  </w:num>
  <w:num w:numId="16">
    <w:abstractNumId w:val="7"/>
  </w:num>
  <w:num w:numId="17">
    <w:abstractNumId w:val="12"/>
  </w:num>
  <w:num w:numId="18">
    <w:abstractNumId w:val="23"/>
  </w:num>
  <w:num w:numId="19">
    <w:abstractNumId w:val="20"/>
  </w:num>
  <w:num w:numId="20">
    <w:abstractNumId w:val="32"/>
  </w:num>
  <w:num w:numId="21">
    <w:abstractNumId w:val="6"/>
  </w:num>
  <w:num w:numId="22">
    <w:abstractNumId w:val="14"/>
  </w:num>
  <w:num w:numId="23">
    <w:abstractNumId w:val="1"/>
  </w:num>
  <w:num w:numId="24">
    <w:abstractNumId w:val="3"/>
  </w:num>
  <w:num w:numId="25">
    <w:abstractNumId w:val="17"/>
  </w:num>
  <w:num w:numId="26">
    <w:abstractNumId w:val="22"/>
  </w:num>
  <w:num w:numId="27">
    <w:abstractNumId w:val="31"/>
  </w:num>
  <w:num w:numId="28">
    <w:abstractNumId w:val="5"/>
  </w:num>
  <w:num w:numId="29">
    <w:abstractNumId w:val="16"/>
  </w:num>
  <w:num w:numId="30">
    <w:abstractNumId w:val="13"/>
  </w:num>
  <w:num w:numId="31">
    <w:abstractNumId w:val="11"/>
  </w:num>
  <w:num w:numId="32">
    <w:abstractNumId w:val="8"/>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8E6"/>
    <w:rsid w:val="004F4226"/>
    <w:rsid w:val="005813AE"/>
    <w:rsid w:val="0059736D"/>
    <w:rsid w:val="00646C89"/>
    <w:rsid w:val="00F578E6"/>
    <w:rsid w:val="00FE16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3A7D1"/>
  <w15:docId w15:val="{F5B80CB1-50AB-4D88-BC88-9C9998198A05}"/>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val="fr-FR" w:bidi="ar-SA" w:eastAsia="fr-FR"/>
      </w:rPr>
    </w:rPrDefault>
    <w:pPrDefault>
      <w:pPr>
        <w:spacing w:after="200" w:line="276" w:lineRule="auto"/>
      </w:pPr>
    </w:pPrDefault>
  </w:docDefaults>
  <w:style w:type="character" w:customStyle="1" w:styleId="Heading1Char">
    <w:name w:val="Heading 1 Char"/>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uiPriority w:val="9"/>
    <w:rPr>
      <w:rFonts w:asciiTheme="majorHAnsi" w:cstheme="majorBidi" w:eastAsiaTheme="majorEastAsia" w:hAnsiTheme="majorHAnsi"/>
      <w:b/>
      <w:bCs/>
      <w:color w:val="4472c4" w:themeColor="accent1"/>
    </w:rPr>
  </w:style>
  <w:style w:type="character" w:customStyle="1" w:styleId="Heading4Char">
    <w:name w:val="Heading 4 Char"/>
    <w:uiPriority w:val="9"/>
    <w:rPr>
      <w:rFonts w:asciiTheme="majorHAnsi" w:cstheme="majorBidi" w:eastAsiaTheme="majorEastAsia" w:hAnsiTheme="majorHAnsi"/>
      <w:b/>
      <w:bCs/>
      <w:i/>
      <w:iCs/>
      <w:color w:val="4472c4" w:themeColor="accent1"/>
    </w:rPr>
  </w:style>
  <w:style w:type="character" w:customStyle="1" w:styleId="Heading5Char">
    <w:name w:val="Heading 5 Char"/>
    <w:uiPriority w:val="9"/>
    <w:rPr>
      <w:rFonts w:asciiTheme="majorHAnsi" w:cstheme="majorBidi" w:eastAsiaTheme="majorEastAsia" w:hAnsiTheme="majorHAnsi"/>
      <w:color w:val="1f3763" w:themeColor="accent1" w:themeShade="7f"/>
    </w:rPr>
  </w:style>
  <w:style w:type="character" w:customStyle="1" w:styleId="Heading6Char">
    <w:name w:val="Heading 6 Char"/>
    <w:uiPriority w:val="9"/>
    <w:rPr>
      <w:rFonts w:asciiTheme="majorHAnsi" w:cstheme="majorBidi" w:eastAsiaTheme="majorEastAsia" w:hAnsiTheme="majorHAnsi"/>
      <w:i/>
      <w:iCs/>
      <w:color w:val="1f3763"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333f4f"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FootnoteTextChar">
    <w:name w:val="Footnote Text Char"/>
    <w:uiPriority w:val="99"/>
    <w:semiHidden w:val="on"/>
    <w:rPr>
      <w:sz w:val="20"/>
      <w:szCs w:val="20"/>
    </w:rPr>
  </w:style>
  <w:style w:type="character" w:customStyle="1" w:styleId="EndnoteTextChar">
    <w:name w:val="Endnote Text Char"/>
    <w:uiPriority w:val="99"/>
    <w:semiHidden w:val="on"/>
    <w:rPr>
      <w:sz w:val="20"/>
      <w:szCs w:val="20"/>
    </w:rPr>
  </w:style>
  <w:style w:type="character" w:customStyle="1" w:styleId="PlainTextChar">
    <w:name w:val="Plain Text Char"/>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default="1" w:styleId="Normal">
    <w:name w:val="Normal"/>
    <w:uiPriority w:val="99"/>
    <w:qFormat w:val="on"/>
  </w:style>
  <w:style w:type="paragraph" w:styleId="Heading1">
    <w:name w:val="Heading 1"/>
    <w:basedOn w:val="Normal"/>
    <w:next w:val="Normal"/>
    <w:link w:val="Titre1C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Titre2C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Titre3C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Titre4C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Titre5C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Titre6C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Titre7C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Titre8C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Titre9C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Titre1Car">
    <w:name w:val="Titre 1 C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Titre2Car">
    <w:name w:val="Titre 2 C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Titre3Car">
    <w:name w:val="Titre 3 Car"/>
    <w:basedOn w:val="DefaultParagraphFont"/>
    <w:link w:val="Heading3"/>
    <w:uiPriority w:val="9"/>
    <w:rPr>
      <w:rFonts w:asciiTheme="majorHAnsi" w:cstheme="majorBidi" w:eastAsiaTheme="majorEastAsia" w:hAnsiTheme="majorHAnsi"/>
      <w:b/>
      <w:bCs/>
      <w:color w:val="4472c4" w:themeColor="accent1"/>
    </w:rPr>
  </w:style>
  <w:style w:type="character" w:customStyle="1" w:styleId="Titre4Car">
    <w:name w:val="Titre 4 C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Titre5Car">
    <w:name w:val="Titre 5 C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Titre6Car">
    <w:name w:val="Titre 6 C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Titre7Car">
    <w:name w:val="Titre 7 C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Titre8Car">
    <w:name w:val="Titre 8 C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Titre9Car">
    <w:name w:val="Titre 9 C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reC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reCar">
    <w:name w:val="Titre C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ous-titreCar"/>
    <w:uiPriority w:val="11"/>
    <w:qFormat w:val="on"/>
    <w:rPr>
      <w:rFonts w:asciiTheme="majorHAnsi" w:cstheme="majorBidi" w:eastAsiaTheme="majorEastAsia" w:hAnsiTheme="majorHAnsi"/>
      <w:i/>
      <w:iCs/>
      <w:color w:val="4472c4" w:themeColor="accent1"/>
      <w:spacing w:val="15"/>
      <w:sz w:val="24"/>
      <w:szCs w:val="24"/>
    </w:rPr>
  </w:style>
  <w:style w:type="character" w:customStyle="1" w:styleId="Sous-titreCar">
    <w:name w:val="Sous-titre C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CitationCar"/>
    <w:uiPriority w:val="29"/>
    <w:qFormat w:val="on"/>
    <w:rPr>
      <w:i/>
      <w:iCs/>
      <w:color w:val="000000" w:themeColor="text1"/>
    </w:rPr>
  </w:style>
  <w:style w:type="character" w:customStyle="1" w:styleId="CitationCar">
    <w:name w:val="Citation Car"/>
    <w:basedOn w:val="DefaultParagraphFont"/>
    <w:link w:val="Quote"/>
    <w:uiPriority w:val="29"/>
    <w:rPr>
      <w:i/>
      <w:iCs/>
      <w:color w:val="000000" w:themeColor="text1"/>
    </w:rPr>
  </w:style>
  <w:style w:type="paragraph" w:styleId="IntenseQuote">
    <w:name w:val="Intense Quote"/>
    <w:basedOn w:val="Normal"/>
    <w:next w:val="Normal"/>
    <w:link w:val="CitationintenseC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CitationintenseCar">
    <w:name w:val="Citation intense C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NotedebasdepageCar"/>
    <w:uiPriority w:val="99"/>
    <w:semiHidden w:val="on"/>
    <w:unhideWhenUsed w:val="on"/>
    <w:pPr>
      <w:spacing w:after="0" w:line="240" w:lineRule="auto"/>
    </w:pPr>
    <w:rPr>
      <w:sz w:val="20"/>
      <w:szCs w:val="20"/>
    </w:rPr>
  </w:style>
  <w:style w:type="character" w:customStyle="1" w:styleId="NotedebasdepageCar">
    <w:name w:val="Note de bas de page C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NotedefinCar"/>
    <w:uiPriority w:val="99"/>
    <w:semiHidden w:val="on"/>
    <w:unhideWhenUsed w:val="on"/>
    <w:pPr>
      <w:spacing w:after="0" w:line="240" w:lineRule="auto"/>
    </w:pPr>
    <w:rPr>
      <w:sz w:val="20"/>
      <w:szCs w:val="20"/>
    </w:rPr>
  </w:style>
  <w:style w:type="character" w:customStyle="1" w:styleId="NotedefinCar">
    <w:name w:val="Note de fin C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TextebrutCar"/>
    <w:uiPriority w:val="99"/>
    <w:semiHidden w:val="on"/>
    <w:unhideWhenUsed w:val="on"/>
    <w:pPr>
      <w:spacing w:after="0" w:line="240" w:lineRule="auto"/>
    </w:pPr>
    <w:rPr>
      <w:rFonts w:ascii="Courier New" w:cs="Courier New" w:hAnsi="Courier New"/>
      <w:sz w:val="21"/>
      <w:szCs w:val="21"/>
    </w:rPr>
  </w:style>
  <w:style w:type="character" w:customStyle="1" w:styleId="TextebrutCar">
    <w:name w:val="Texte brut Car"/>
    <w:basedOn w:val="DefaultParagraphFont"/>
    <w:link w:val="PlainText"/>
    <w:uiPriority w:val="99"/>
    <w:rPr>
      <w:rFonts w:ascii="Courier New" w:cs="Courier New" w:hAnsi="Courier New"/>
      <w:sz w:val="21"/>
      <w:szCs w:val="21"/>
    </w:rPr>
  </w:style>
  <w:style w:type="paragraph" w:styleId="Header">
    <w:name w:val="Header"/>
    <w:basedOn w:val="Normal"/>
    <w:link w:val="En-têteCar"/>
    <w:uiPriority w:val="99"/>
    <w:unhideWhenUsed w:val="on"/>
    <w:pPr>
      <w:spacing w:after="0" w:line="240" w:lineRule="auto"/>
    </w:pPr>
  </w:style>
  <w:style w:type="character" w:customStyle="1" w:styleId="En-têteCar">
    <w:name w:val="En-tête Car"/>
    <w:basedOn w:val="DefaultParagraphFont"/>
    <w:link w:val="Header"/>
    <w:uiPriority w:val="99"/>
  </w:style>
  <w:style w:type="paragraph" w:styleId="Footer">
    <w:name w:val="Footer"/>
    <w:basedOn w:val="Normal"/>
    <w:link w:val="PieddepageCar"/>
    <w:uiPriority w:val="99"/>
    <w:unhideWhenUsed w:val="on"/>
    <w:pPr>
      <w:spacing w:after="0" w:line="240" w:lineRule="auto"/>
    </w:pPr>
  </w:style>
  <w:style w:type="character" w:customStyle="1" w:styleId="PieddepageCar">
    <w:name w:val="Pied de page Car"/>
    <w:basedOn w:val="DefaultParagraphFont"/>
    <w:link w:val="Footer"/>
    <w:uiPriority w:val="99"/>
  </w:style>
  <w:style w:type="paragraph" w:styleId="Caption">
    <w:name w:val="Caption"/>
    <w:basedOn w:val="Normal"/>
    <w:next w:val="Normal"/>
    <w:uiPriority w:val="35"/>
    <w:unhideWhenUsed w:val="on"/>
    <w:qFormat w:val="on"/>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theme" Target="theme/theme1.xml"/><Relationship Id="rId15" Type="http://schemas.openxmlformats.org/officeDocument/2006/relationships/image" Target="media/image2.png"/><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6" Type="http://schemas.openxmlformats.org/officeDocument/2006/relationships/hyperlink" Target="mailto:Contact@calrion.fr" TargetMode="External"/><Relationship Id="rId7" Type="http://schemas.openxmlformats.org/officeDocument/2006/relationships/hyperlink" Target="mailto:cal.riom63200@gmail.com" TargetMode="External"/><Relationship Id="rId8" Type="http://schemas.openxmlformats.org/officeDocument/2006/relationships/hyperlink" Target="mailto:Calriom@free.fr" TargetMode="External"/><Relationship Id="rId9" Type="http://schemas.openxmlformats.org/officeDocument/2006/relationships/hyperlink" Target="mailto:cal.riom63200@gmail.com" TargetMode="External"/><Relationship Id="rId10" Type="http://schemas.openxmlformats.org/officeDocument/2006/relationships/hyperlink" Target="mailto:Calriom@gmail.com" TargetMode="External"/><Relationship Id="rId11" Type="http://schemas.openxmlformats.org/officeDocument/2006/relationships/hyperlink" Target="mailto:Cal.riom63200@gmail.com" TargetMode="External"/><Relationship Id="rId12" Type="http://schemas.openxmlformats.org/officeDocument/2006/relationships/hyperlink" Target="mailto:cal.riom63200@gmail.com" TargetMode="Externa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Par défau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7</Pages>
  <Words>1640</Words>
  <Characters>9020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HALL32</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SARRON</dc:creator>
  <cp:lastModifiedBy>SARRON </cp:lastModifiedBy>
</cp:coreProperties>
</file>